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22da52f35d9670899be709cd2ee9dea320bbb"/>
    <w:p>
      <w:pPr>
        <w:pStyle w:val="Heading3"/>
      </w:pPr>
      <w:r>
        <w:t xml:space="preserve">Представители Главного управления МЧС России по г. Москве приняли участие в работе круглого стола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rPr>
          <w:bCs/>
          <w:b/>
        </w:rPr>
        <w:t xml:space="preserve">На базе Московской торгово-промышленной палаты состоялся круглый стол на тему: «Развитие пожарно-спасательной отрасли. Общественный контроль и взаимодействие со структурами власти», на котором выступил сотрудник Главного управления МЧС России по г. Москве.</w:t>
      </w:r>
    </w:p>
    <w:p>
      <w:pPr>
        <w:pStyle w:val="BodyText"/>
      </w:pPr>
      <w:r>
        <w:t xml:space="preserve">Одним из обсуждаемых вопросов стала безопасность крупных объектов с массовым пребыванием людей. В ходе круглого стола участники рассмотрели возможности общественного контроля за соблюдением обязательных требований на объектах торгового, культурного и развлекательного назначения.</w:t>
      </w:r>
    </w:p>
    <w:p>
      <w:pPr>
        <w:pStyle w:val="BodyText"/>
      </w:pPr>
      <w:r>
        <w:t xml:space="preserve">«Введение публичного рейтинга состояния безопасности зданий, сформированного по результатам общественного контроля выгодно и государству, и их собственникам», – подчеркнул начальник отдела организации надзорных и профилактических мероприятий в области пожарной безопасности УНПР Главного управления МЧС России по г. Москве Алексей Михан.</w:t>
      </w:r>
    </w:p>
    <w:p>
      <w:pPr>
        <w:pStyle w:val="BodyText"/>
      </w:pPr>
      <w:r>
        <w:t xml:space="preserve">В условия действия ограничительных мер по осуществлению контрольной (надзорной) деятельности положительный результат могут принести действенные формы общественного контроля, организованные на базе квалифицированных общественных объединений.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http://dorogomilovo.mos.ru/presscenter/news-on-main/detail/12326479.html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26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326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2024-10-01T00:43:49Z</dcterms:created>
  <dcterms:modified xsi:type="dcterms:W3CDTF">2024-10-01T00:43:49Z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