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77e547fc608cd30ccbb5c7cdfdb8142155530"/>
    <w:p>
      <w:pPr>
        <w:pStyle w:val="Heading3"/>
      </w:pPr>
      <w:r>
        <w:t xml:space="preserve">Делегация МЧС России участвует в Неделе гуманитарных сетей и партнерств в Швейцарии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rPr>
          <w:bCs/>
          <w:b/>
        </w:rPr>
        <w:t xml:space="preserve">Мероприятие проходило в швейцарской Женеве с участием экспертов в области гуманитарного содействия и чрезвычайного реагирования из различных государств, агентств, неправительственных организаций, научных кругов и частного сектора.</w:t>
      </w:r>
    </w:p>
    <w:p>
      <w:pPr>
        <w:pStyle w:val="BodyText"/>
      </w:pPr>
      <w:r>
        <w:t xml:space="preserve">За пять дней помимо выступлений на ключевых мероприятиях Гуманитарной недели ООН, представители российского спасательного ведомства провели ряд двусторонних встреч с представителями профильных международных организаций: Управления ООН по координации гуманитарных вопросов (далее - УКГВ ООН) и Международного Комитета Красного Креста (далее - МККК).</w:t>
      </w:r>
    </w:p>
    <w:p>
      <w:pPr>
        <w:pStyle w:val="BodyText"/>
      </w:pPr>
      <w:r>
        <w:t xml:space="preserve">УКГВ ООН представило итоговый обзор опыта гуманитарного реагирования международного сообщества на последствия землетрясения в Турции и Сирии, произошедшего в феврале прошлого года. В отчете представлены рекомендации по адаптации механизмов координации к условиям масштабных бедствий.</w:t>
      </w:r>
    </w:p>
    <w:p>
      <w:pPr>
        <w:pStyle w:val="BodyText"/>
      </w:pPr>
      <w:r>
        <w:t xml:space="preserve">На заседании Руководящего комитета Международной консультативной группы по вопросам поиска и спасения (далее - ИНСАРАГ) обсуждались среднесрочные планы по изменению международных стандартов реагирования на землетрясения. Также приняты ключевые решения по организации деятельности в текущем году и на среднесрочный период. Российская сторона подтвердила намерение развивать сотрудничество по линии ИНСАРАГ, в том числе в текущем году отряду Центроспас МЧС России предстоит вторая переаттестация по методологии ИНСАРАГ. Чрезвычайное ведомство также примет участие в переаттестации подразделений поисково-спасательных служб иностранных государств - эксперты Министерства включены в состав международных комиссий по аттестации отрядов ЮАР и Катара.</w:t>
      </w:r>
    </w:p>
    <w:p>
      <w:pPr>
        <w:pStyle w:val="BodyText"/>
      </w:pPr>
      <w:r>
        <w:t xml:space="preserve">В Системе ООН по оценке и координации в случаях бедствий (ЮНДАК) было представлено новое руководство по организации деятельности групп ЮНДАК во время гуманитарных миссий, подготовленное при непосредственном участии российских экспертов.</w:t>
      </w:r>
    </w:p>
    <w:p>
      <w:pPr>
        <w:pStyle w:val="BodyText"/>
      </w:pPr>
      <w:r>
        <w:t xml:space="preserve">В рамках программы Гуманитарной недели сотрудники МЧС России также приняли участие в ряде пленарных заседаний и профильных сессиях с экспертами мирового гуманитарного сообщества по вопросам предупреждения и реагирования на ЧС глобального характера.</w:t>
      </w:r>
    </w:p>
    <w:p>
      <w:pPr>
        <w:pStyle w:val="BodyText"/>
      </w:pPr>
      <w:r>
        <w:t xml:space="preserve">В частности, была отмечена важная роль России в диалоге между гуманитарными и военными структурами государств-членов ООН. На заседании консультативной группы Глобальной системы оповещения о бедствиях и координации реагирования (GDACS), в деятельности которой МЧС России занимает традиционно ведущие позиции, обсуждались итоги 20-летней работы на данном направлении. На экспертном уровне рассматривались вопросы развития Глобальной сети кризисных центров, МЧС России выразило готовность участвовать в организации тренировок центров управления стран-членов ООН.</w:t>
      </w:r>
    </w:p>
    <w:p>
      <w:pPr>
        <w:pStyle w:val="BodyText"/>
      </w:pPr>
      <w:r>
        <w:t xml:space="preserve">В рамках развития сотрудничества с ВОЗ обсуждались вопросы совершенствования подготовки и реагирования чрезвычайных медицинских бригад. Также ВОЗ представила профессиональному сообществу подробный информационный обзор о деятельности чрезвычайных медицинских бригад в условиях реагирования на ситуацию в секторе Газа.</w:t>
      </w:r>
    </w:p>
    <w:p>
      <w:pPr>
        <w:pStyle w:val="BodyText"/>
      </w:pPr>
      <w:r>
        <w:t xml:space="preserve">МЧС России продолжит сотрудничество на профильных международных площадках. Совместная работа будет способствовать укреплению международных отношений, а также совершенствованию готовности российских подразделений к реагированию за рубежом.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http://dorogomilovo.mos.ru/presscenter/news-on-main/detail/12366478.html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66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66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2024-07-30T22:01:31Z</dcterms:created>
  <dcterms:modified xsi:type="dcterms:W3CDTF">2024-07-30T22:01:31Z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