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8b9952ba9f76fe1cd9bf1fb10c00756bd98d2"/>
    <w:p>
      <w:pPr>
        <w:pStyle w:val="Heading3"/>
      </w:pPr>
      <w:r>
        <w:t xml:space="preserve">Росгвардия обеспечила безопасность в День народного единства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rPr>
          <w:bCs/>
          <w:b/>
        </w:rPr>
        <w:t xml:space="preserve">Общественную безопасность во время проведения праздничных мероприятий в День народного единства обеспечили сотрудники подразделений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полицейскими.</w:t>
      </w:r>
    </w:p>
    <w:p>
      <w:pPr>
        <w:pStyle w:val="BodyText"/>
      </w:pPr>
      <w:r>
        <w:t xml:space="preserve">Традиционно в этот день прошло множество праздничных мероприятий в которых были задействованы такие площадки, как Поклонная гора, ВДНХ, парки и скверы Москвы.</w:t>
      </w:r>
    </w:p>
    <w:p>
      <w:pPr>
        <w:pStyle w:val="BodyText"/>
      </w:pPr>
      <w:r>
        <w:t xml:space="preserve">В местах проведения торжеств был реализован комплекс соответствующих мер в целях обеспечения правопорядка и безопасности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http://dorogomilovo.mos.ru/presscenter/news-on-main/detail/12646505.html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46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46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2024-11-23T08:08:54Z</dcterms:created>
  <dcterms:modified xsi:type="dcterms:W3CDTF">2024-11-23T08:08:54Z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