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брошенный-автотранспорт"/>
    <w:p>
      <w:pPr>
        <w:pStyle w:val="Heading3"/>
      </w:pPr>
      <w:r>
        <w:t xml:space="preserve">Брошенный автотранспорт</w:t>
      </w:r>
    </w:p>
    <w:p>
      <w:pPr>
        <w:pStyle w:val="FirstParagraph"/>
      </w:pPr>
      <w:r>
        <w:t xml:space="preserve">09.06.2015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rogomilovo.mos.ru/www/upload/resize_cache/iblock/4b9/140_110_2/img_08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http://dorogomilovo.mos.ru/presscenter/news/detail/1924389.html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/detail/19243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/detail/19243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2023-11-17T16:26:25Z</dcterms:created>
  <dcterms:modified xsi:type="dcterms:W3CDTF">2023-11-17T16:26:25Z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